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ED" w:rsidRDefault="004927ED" w:rsidP="004927ED">
      <w:pPr>
        <w:pStyle w:val="a4"/>
        <w:shd w:val="clear" w:color="auto" w:fill="FFFFFF"/>
        <w:spacing w:before="0" w:beforeAutospacing="0" w:after="240" w:afterAutospacing="0"/>
        <w:rPr>
          <w:rFonts w:ascii="Calibri" w:hAnsi="Calibri"/>
          <w:color w:val="666666"/>
        </w:rPr>
      </w:pPr>
      <w:r>
        <w:rPr>
          <w:rFonts w:ascii="Calibri" w:hAnsi="Calibri"/>
          <w:color w:val="666666"/>
        </w:rPr>
        <w:t>Постановка на государственный кадастровый учет осуществляется без взимания платы с заявителя. За осуществление государственной регистрации прав предусмотрена государственная пошлина.</w:t>
      </w:r>
    </w:p>
    <w:p w:rsidR="004927ED" w:rsidRDefault="004927ED" w:rsidP="004927ED">
      <w:pPr>
        <w:pStyle w:val="3"/>
        <w:shd w:val="clear" w:color="auto" w:fill="FFFFFF"/>
        <w:spacing w:before="0" w:beforeAutospacing="0" w:after="192" w:afterAutospacing="0"/>
        <w:ind w:left="660"/>
        <w:rPr>
          <w:rFonts w:ascii="Arial" w:hAnsi="Arial" w:cs="Arial"/>
          <w:b w:val="0"/>
          <w:bCs w:val="0"/>
          <w:caps/>
          <w:color w:val="006FB8"/>
          <w:sz w:val="29"/>
          <w:szCs w:val="29"/>
        </w:rPr>
      </w:pPr>
      <w:r>
        <w:rPr>
          <w:rFonts w:ascii="Arial" w:hAnsi="Arial" w:cs="Arial"/>
          <w:b w:val="0"/>
          <w:bCs w:val="0"/>
          <w:caps/>
          <w:color w:val="006FB8"/>
          <w:sz w:val="29"/>
          <w:szCs w:val="29"/>
        </w:rPr>
        <w:t>ПОРЯДОК УПЛАТЫ И РАЗМЕРЫ ГОСПОШЛИНЫ</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Государственная пошлина – сбор, взимаемый с лиц, указанных в статье 333.17 Налогового Кодекса Российской Федерации (далее – НК),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главой 25.3 НК, за исключением действий, совершаемых консульскими учреждениями Российской Федерации.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Плательщиками государственной пошлины признаются организации и физические лица если они обращаются за совершением юридически значимых действий, предусмотренных главой 25.3 НК.</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Плательщики уплачивают государственную пошлину при обращении за совершением юридически значимых действий, указанных в подпунктах 21 – 33 пункта 1 статьи 333.33 НК (государственная регистрация прав, ограничений (обременений) прав на недвижимое имущество и сделок с ним), - до подачи заявлений на совершение соответствующих юридически значимых действий либо в случае, если заявления на совершение таких действий поданы в электронной форме</w:t>
      </w:r>
      <w:hyperlink r:id="rId4" w:anchor="1" w:history="1">
        <w:r>
          <w:rPr>
            <w:rStyle w:val="a3"/>
            <w:rFonts w:ascii="Calibri" w:hAnsi="Calibri"/>
          </w:rPr>
          <w:t>*</w:t>
        </w:r>
      </w:hyperlink>
      <w:r>
        <w:rPr>
          <w:rFonts w:ascii="Calibri" w:hAnsi="Calibri"/>
          <w:color w:val="666666"/>
        </w:rPr>
        <w:t>., после подачи указанных заявлений, но до принятия их к рассмотрению Государственная пошлина уплачивается плательщиком, если иное не установлено главой 25.3 НК. В случае, если за совершением юридически значимого действия одновременно обратились несколько плательщиков, не имеющих права на льготы, установленные главой 25.3 НК, государственная пошлина уплачивается плательщиками в равных долях. В случае если среди лиц, обратившихся за совершением юридически значимого действия, одно лицо (несколько лиц) в соответствии с главой 25.3 НК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главой 25.3 НК.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главой 25.3 НК. Государственная пошлина уплачивается по месту совершения юридически значимого действия в наличной или безналичной форме.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27.07.2010 № 210-ФЗ «Об организации предоставления государственных и муниципальных услуг».</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lastRenderedPageBreak/>
        <w:t>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 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 Если документы, необходимые для государственной регистрации прав, представлены в форме электронных документов</w:t>
      </w:r>
      <w:hyperlink r:id="rId5" w:anchor="2" w:history="1">
        <w:r>
          <w:rPr>
            <w:rStyle w:val="a3"/>
            <w:rFonts w:ascii="Calibri" w:hAnsi="Calibri"/>
          </w:rPr>
          <w:t>*</w:t>
        </w:r>
      </w:hyperlink>
      <w:r>
        <w:rPr>
          <w:rFonts w:ascii="Calibri" w:hAnsi="Calibri"/>
          <w:color w:val="666666"/>
        </w:rPr>
        <w:t>,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4927ED" w:rsidRDefault="004927ED" w:rsidP="004927ED">
      <w:pPr>
        <w:pStyle w:val="a4"/>
        <w:shd w:val="clear" w:color="auto" w:fill="FFFFFF"/>
        <w:spacing w:before="0" w:beforeAutospacing="0" w:after="0" w:afterAutospacing="0"/>
        <w:jc w:val="center"/>
        <w:rPr>
          <w:rFonts w:ascii="Calibri" w:hAnsi="Calibri"/>
          <w:color w:val="666666"/>
        </w:rPr>
      </w:pPr>
      <w:r>
        <w:rPr>
          <w:rFonts w:ascii="Arial" w:hAnsi="Arial" w:cs="Arial"/>
          <w:color w:val="666666"/>
        </w:rPr>
        <w:t>Размеры государственной пошлины за совершение регистрационных действий в соответствии с Налоговым кодексом Российской Федерации (если за совершение таких регистрационных действий статьей 333.35 Налогового кодекса Российской Федерации не установлены льготы по ее уплате)</w:t>
      </w:r>
    </w:p>
    <w:tbl>
      <w:tblPr>
        <w:tblW w:w="958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4771"/>
        <w:gridCol w:w="4341"/>
      </w:tblGrid>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jc w:val="center"/>
              <w:rPr>
                <w:rFonts w:ascii="Calibri" w:hAnsi="Calibri"/>
                <w:b/>
                <w:bCs/>
                <w:color w:val="666666"/>
              </w:rPr>
            </w:pPr>
            <w:r>
              <w:rPr>
                <w:rFonts w:ascii="Calibri" w:hAnsi="Calibri"/>
                <w:color w:val="666666"/>
                <w:sz w:val="20"/>
                <w:szCs w:val="20"/>
              </w:rPr>
              <w:br/>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jc w:val="center"/>
              <w:rPr>
                <w:rFonts w:ascii="Calibri" w:hAnsi="Calibri"/>
                <w:b/>
                <w:bCs/>
                <w:color w:val="666666"/>
              </w:rPr>
            </w:pPr>
            <w:r>
              <w:rPr>
                <w:rFonts w:ascii="Calibri" w:hAnsi="Calibri"/>
                <w:color w:val="666666"/>
                <w:sz w:val="20"/>
                <w:szCs w:val="20"/>
              </w:rPr>
              <w:t>Виды регистрационных действий</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jc w:val="center"/>
              <w:rPr>
                <w:rFonts w:ascii="Calibri" w:hAnsi="Calibri"/>
                <w:b/>
                <w:bCs/>
                <w:color w:val="666666"/>
              </w:rPr>
            </w:pPr>
            <w:r>
              <w:rPr>
                <w:rFonts w:ascii="Calibri" w:hAnsi="Calibri"/>
                <w:color w:val="666666"/>
                <w:sz w:val="20"/>
                <w:szCs w:val="20"/>
              </w:rPr>
              <w:t>Размеры государственной пошлины</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права, возникшего до введения в действие Федерального закона «О государственной регистрации прав на недвижимое имущество и сделок с ним» (далее – Закон), осуществляемая по желанию правообладателя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- 2 000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на объекты, указанные в подпункте 24 пункта 1 статьи 333.33 Налогового кодекса Российской Федерации, - 350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юридического лица – 22 000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 xml:space="preserve">Государственная регистрация доли в праве общей собственности, возникшей до введения в действие Закона, осуществляемая по желанию правообладателя (за исключением доли в праве </w:t>
            </w:r>
            <w:r>
              <w:rPr>
                <w:rFonts w:ascii="Calibri" w:hAnsi="Calibri"/>
                <w:color w:val="666666"/>
                <w:sz w:val="20"/>
                <w:szCs w:val="20"/>
              </w:rPr>
              <w:lastRenderedPageBreak/>
              <w:t>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для каждого физического лица - 2 000 рублей;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каждого физического лица на объекты, указанные в подпункте 24 пункта 1 статьи 333.33 Налогового кодекса Российской Федерации, - 350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для каждого юридического лица – 22 000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права, возникшего до введения в действие Закона, осуществляемая в соответствии с пунктом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- 1000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на объекты, указанные в подпункте 24 пункта 1 статьи 333.33 Налогового кодекса Российской Федерации – 175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юридического лица -   11000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доли в праве общей собственности, возникшей до введения в действие Закона, осуществляемая в соответствии с частью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каждого физического лица - 1000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каждого физического лица на объекты, указанные в подпункте 24 пункта 1 статьи 333.33 Налогового кодекса Российской Федерации, - 175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каждого юридического лица -   11000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права, возникшего после введения в действие Закона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- 2000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на объекты, указанные в подпункте 24 пункта 1 статьи 333.33 Налогового кодекса Российской Федерации, -  350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юридического лица – 22000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права общей совместной собственности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физических лиц - 2000 рублей (вне зависимости от количества участников общей совместной собственности);</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физических лиц на объекты, указанные в подпункте 24 пункта 1 статьи 333.33 Налогового кодекса Российской Федерации, -  350 рублей (вне зависимости от количества участников общей совместной собственности)</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доли в праве общей собственности, возникающей с момента государственной регистрации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- 2000 рублей, умноженные на размер доли в праве собственности;</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на объекты, указанные в подпункте 24 пункта 1 статьи 333.33 Налогового кодекса Российской Федерации, -350 рублей, умноженные на размер доли в праве собственности;</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юридического лица – 22 000 рублей, умноженные на размер доли в праве собственности;</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Например, в случае приобретения земельного участка в равнодолевую собственность двух физических и трех юридических лиц (доли в праве равны 1/5) государственная пошлина за государственную регистрацию прав уплачивается физическими лицами в размере 400 рублей каждым (2000 рублей × 1/5), юридическими лицами - в размере 4400 рублей каждым (22 000 рублей× 1/5).</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 xml:space="preserve">Государственная регистрация доли в праве общей долевой собственности, возникновение которой не связано с государственной регистрацией права (например, наследование, полная выплата паевого взноса членом жилищного, жилищно-¬строительного, </w:t>
            </w:r>
            <w:r>
              <w:rPr>
                <w:rFonts w:ascii="Calibri" w:hAnsi="Calibri"/>
                <w:color w:val="666666"/>
                <w:sz w:val="20"/>
                <w:szCs w:val="20"/>
              </w:rPr>
              <w:lastRenderedPageBreak/>
              <w:t>дачного, гаражного или иного потребительского кооператива)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для каждого физического лица – 2000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каждого физического лица на объекты, указанные в подпункте 24 пункта 1 статьи 333.33 Налогового кодекса Российской Федерации, - 350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для каждого юридического лица – 22 000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доли в праве общей собственности на общее имущество в многоквартирном доме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всех категорий плательщиков - 200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всех категорий плательщиков - 100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пункта 1 статьи 333.33 Налогового кодекса Российской Федерации)</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всех категорий плательщиков - 350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права хозяйственного ведения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юридического лица –   22 000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 на недвижимое имущество, находящееся в составе паевого инвестиционного фонда</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права пожизненного наследуемого владения земельным участком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- 2 000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прав на предприятие как имущественный комплекс, а также ограничений (обременений) прав на предприятие как имущественный комплекс, в том числе договоров аренды предприятия как имущественного комплекса</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0,1% от стоимости имущества, имущественных и иных прав, входящих в состав предприятия как имущественного комплекса, но не более 60 000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прекращения права без перехода права к новому правообладателю</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физического лица - 2 000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юридического лица – 22 000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17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договора аренды, договора безвозмездного срочного пользования земельным участком, договора субаренды, договора (соглашения) о присоединении к договору аренды (далее также - договор аренды) (за исключением сделок с земельными участками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в случае, если с заявлением о государственной регистрации договора аренды обращается одна сторона, а именно: физическое лицо - 2 000 рублей; юридическое лицо – 22 000 рублей;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в случае, если с заявлением о государственной регистрации договора аренды, обращаются обе стороны, то государственная пошлина уплачивается в порядке, определенном п. 2 статьи 333.18 Налогового кодекса Российской Федерации:</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заключен физическими лицами - 2 000 рублей, разделенные на количество участников договора;</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заключен юридическими лицами –22 000 рублей, разделенные на количество участников договора;</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 xml:space="preserve">если договор заключен юридическим и физическим лицами: физическое лицо уплачивает 2 000 рублей, разделенные на количество участников договора; юридическое лицо –22 000 рублей, разделенные на количество участников договора; если договор заключен юридическим лицом и федеральным органом </w:t>
            </w:r>
            <w:r>
              <w:rPr>
                <w:rFonts w:ascii="Calibri" w:hAnsi="Calibri"/>
                <w:color w:val="666666"/>
                <w:sz w:val="20"/>
                <w:szCs w:val="20"/>
              </w:rPr>
              <w:lastRenderedPageBreak/>
              <w:t>государственной власти, органом государственной власти субъектов Российской Федерации, органом местного самоуправления: юридическое лицо уплачивает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заключен физическим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уплачивает 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заключен физическим лицом, юридическим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- 2 000 рублей, разделенные на количество участников договора, юридическое лицо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Например, если сторонами договора аренды являются два физических лица и одно юридическое лицо, то государственная пошлина за государственную регистрацию договора уплачивается каждым физическим лицом в размере 666,6 рубля (2 000 рублей разделить на 3), юридическое лицо – 7333,3 рубля (22 000 рублей разделить на 3). Общая сумма уплаченной государственной пошлины будет составлять 8666,5 рубля.</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При этом государственная пошлина уплачивается только за государственную регистрацию сделки вне зависимости от количества объектов недвижимого имущества, являющихся объектами аренды, государственная регистрация ограничений (обременении), возникающих на основании договора аренды, осуществляется без уплаты государственной пошлины</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18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дополнительного соглашения к договору аренды (за исключением сделок с земельными участками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в случае, если с заявлением о государственной регистрации дополнительного соглашения к договору аренды обращается одна сторона, а именно: физическое лицо - 350 рублей; юридическое лицо - 1000 рублей;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 xml:space="preserve">в случае, если с заявлением о государственной регистрации дополнительного соглашения к </w:t>
            </w:r>
            <w:r>
              <w:rPr>
                <w:rFonts w:ascii="Calibri" w:hAnsi="Calibri"/>
                <w:color w:val="666666"/>
                <w:sz w:val="20"/>
                <w:szCs w:val="20"/>
              </w:rPr>
              <w:lastRenderedPageBreak/>
              <w:t>договору аренды, обращаются обе стороны, то физическое лицо - 350 рублей, разделенные на количество участников договора; юридическое лицо - 1000 рублей, разделенные на количество участников договора.</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19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соглашений (договоров) о переуступке прав и обязанностей по договору, подлежащему государственной регистрации, переводе долга, в том числе уступке требования, передаче прав и обязанностей по договору аренды (за исключением переуступки прав по договору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пошлина уплачивается в порядке, определенном п. 17 настоящей таблицы</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ипотеки, включая внесение в Единый государственный реестр недвижимости  (далее - ЕГРН) записи об ипотеке как обременении прав на недвижимое имущество,</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об ипотеке заключен физическими лицами - 1000 рублей (в сумме);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об ипотеке заключен юридическими лицами - 4000 рублей (в сумме);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об ипотеке заключен физическим и юридическим лицами, за исключением договора, влекущего возникновение ипотеки на основании закона, - 1000 рублей (в сумме)</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ind w:firstLine="539"/>
              <w:rPr>
                <w:rFonts w:ascii="Calibri" w:hAnsi="Calibri"/>
                <w:b/>
                <w:bCs/>
                <w:color w:val="666666"/>
              </w:rPr>
            </w:pPr>
            <w:r>
              <w:rPr>
                <w:rFonts w:ascii="Calibri" w:hAnsi="Calibri"/>
                <w:color w:val="666666"/>
                <w:sz w:val="20"/>
                <w:szCs w:val="20"/>
              </w:rPr>
              <w:t>Внесение изменений в записи ЕГРН в связи с соглашением об изменении или о расторжении договора об ипотеке</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br/>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соглашение заключено физическими лицами - 200 рублей (в сумме);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соглашение заключено юридическими лицами - 600 рублей (в сумме);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соглашение заключено физическим и юридическим лицами, за исключением договора, влекущего возникновение ипотеки на основании закона, - 200 рублей (в сумме)</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смены залогодержателя вследствие уступки прав по основному обязательству, обеспеченному ипотекой, либо по договору об ипотеки, в том числе сделки по уступке прав требования. включая внесение в ЕГРН записи об ипотеке, осуществляемой при смене залогодержателя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всех категорий плательщиков – 1 600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смены владельца закладной, в том числе сделки по уступке прав требования, включая внесение в ЕГРН записи об ипотеке, осуществляемой при смене владельца закладной</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всех категорий плательщиков - 350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сервитутов (за исключением ограничений (обременений)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установленных в интересах физических лиц - 1 500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установленных в интересах юридических лиц - 6 000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ограничений (обременении) прав на объекты недвижимого имущества (кроме предприятия как имущественного комплекса) (за исключением аренды, ипотеки, сервитута и ареста (запрещения), ограничений (обременений)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физических лиц - 2 000 рублей;</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юридических лиц – 22 000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договора участия в долевом строительстве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заключен физическими лицами - 350 рублей, разделенные на количество участников договора;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если договор заключен юридическими лицами – 6 000 рублей, разделенные на количество участников договора;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если договор заключен юридическим и физическим лицами: физическое лицо уплачивает 350 рублей, разделенные на количество участников договора; юридическое лицо – 6 000рублей, разделенные на количество участников договора</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lastRenderedPageBreak/>
              <w:t>27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ЕГРН</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всех категорий плательщиков – 350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Внесение изменений в записи ЕГРН (за исключением внесения изменений и дополнений в регистрационную запись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физических лиц - 350 рублей;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юридических лиц - 1000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29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Внесение изменений и дополнений в регистрационную запись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всех категорий плательщиков - 350 рублей</w:t>
            </w:r>
          </w:p>
        </w:tc>
      </w:tr>
      <w:tr w:rsidR="004927ED" w:rsidTr="004927ED">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30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Внесение изменений в записи ЕГРН о предприятии как имущественном комплексе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физических лиц - 350 рублей; </w:t>
            </w:r>
          </w:p>
          <w:p w:rsidR="004927ED" w:rsidRDefault="004927ED">
            <w:pPr>
              <w:pStyle w:val="a4"/>
              <w:spacing w:before="0" w:beforeAutospacing="0" w:after="0" w:afterAutospacing="0"/>
              <w:rPr>
                <w:rFonts w:ascii="Calibri" w:hAnsi="Calibri"/>
                <w:b/>
                <w:bCs/>
                <w:color w:val="666666"/>
              </w:rPr>
            </w:pPr>
            <w:r>
              <w:rPr>
                <w:rFonts w:ascii="Calibri" w:hAnsi="Calibri"/>
                <w:color w:val="666666"/>
                <w:sz w:val="20"/>
                <w:szCs w:val="20"/>
              </w:rPr>
              <w:t>для юридических лиц - 1 000 рублей;</w:t>
            </w:r>
          </w:p>
        </w:tc>
      </w:tr>
    </w:tbl>
    <w:p w:rsidR="004927ED" w:rsidRDefault="004927ED" w:rsidP="004927ED">
      <w:pPr>
        <w:pStyle w:val="a4"/>
        <w:shd w:val="clear" w:color="auto" w:fill="FFFFFF"/>
        <w:spacing w:before="0" w:beforeAutospacing="0" w:after="240" w:afterAutospacing="0"/>
        <w:jc w:val="both"/>
        <w:rPr>
          <w:rFonts w:ascii="Calibri" w:hAnsi="Calibri"/>
          <w:color w:val="666666"/>
        </w:rPr>
      </w:pPr>
      <w:r>
        <w:rPr>
          <w:rFonts w:ascii="Calibri" w:hAnsi="Calibri"/>
          <w:color w:val="666666"/>
        </w:rPr>
        <w:t>Размеры государственной пошлины, установленные главой 25.3 Налогового кодекса Российской Федерации за совершение юридически значимых действий в отношении физических лиц, применяются с учетом коэффициента 0,7 в случае совершения указанных юридически значимых действий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 и получением результата услуги в электронной форме (пункт 4 статьи 333.35 Налогового кодекса Российской Федерации). Данные положения согласно Федеральному закону от 21.07.2014 № 221-ФЗ «О внесении изменений в главу 25.3 части второй Налогового кодекса Российской Федерации» действуют до 1 января 2019 года.</w:t>
      </w:r>
    </w:p>
    <w:p w:rsidR="004927ED" w:rsidRDefault="004927ED" w:rsidP="004927ED">
      <w:pPr>
        <w:pStyle w:val="a4"/>
        <w:shd w:val="clear" w:color="auto" w:fill="FFFFFF"/>
        <w:spacing w:before="0" w:beforeAutospacing="0" w:after="240" w:afterAutospacing="0"/>
        <w:jc w:val="center"/>
        <w:rPr>
          <w:rFonts w:ascii="Calibri" w:hAnsi="Calibri"/>
          <w:b/>
          <w:bCs/>
          <w:color w:val="666666"/>
          <w:sz w:val="27"/>
          <w:szCs w:val="27"/>
        </w:rPr>
      </w:pPr>
      <w:r>
        <w:rPr>
          <w:rFonts w:ascii="Calibri" w:hAnsi="Calibri"/>
          <w:b/>
          <w:bCs/>
          <w:color w:val="666666"/>
          <w:sz w:val="27"/>
          <w:szCs w:val="27"/>
        </w:rPr>
        <w:t>От уплаты государственной пошлины освобождаются:</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государственной регистрацией прав на недвижимое имущество и сделок с ним;</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2. Центральный банк Российской Федерации при обращении за совершением установленных главой 25.3 НК юридически значимых действий в связи с выполнением им функций, возложенных на него законодательством Российской Федерации;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3. физические лица, признаваемые малоимущими в соответствии с Жилищным кодексом Российской Федерации за совершение действий, предусмотренных подпунктом 22 пункта 1 статьи 333.33 НК, за исключением государственной регистрации ограничений (обременений) прав на недвижимое имущество.</w:t>
      </w:r>
    </w:p>
    <w:p w:rsidR="004927ED" w:rsidRDefault="004927ED" w:rsidP="004927ED">
      <w:pPr>
        <w:pStyle w:val="a4"/>
        <w:shd w:val="clear" w:color="auto" w:fill="FFFFFF"/>
        <w:spacing w:before="0" w:beforeAutospacing="0" w:after="0" w:afterAutospacing="0"/>
        <w:jc w:val="center"/>
        <w:rPr>
          <w:rFonts w:ascii="Calibri" w:hAnsi="Calibri"/>
          <w:color w:val="666666"/>
        </w:rPr>
      </w:pPr>
      <w:r>
        <w:rPr>
          <w:rFonts w:ascii="Arial" w:hAnsi="Arial" w:cs="Arial"/>
          <w:color w:val="666666"/>
        </w:rPr>
        <w:t>Государственная пошлина не уплачивается:</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 за государственную регистрацию права оперативного управления недвижимым имуществом, находящимся в государственной или муниципальной собственности;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2. за государственную регистрацию ограничений (обременений) прав на земельные участки, используемые для северного оленеводства;</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3. 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4. за внесение изменений в ЕГРН в случае изменения законодательства Российской Федерации;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lastRenderedPageBreak/>
        <w:t>5. за внесение изменений в ЕГРН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статьей 17 Закона;</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6. за государственную регистрацию арестов, прекращения арестов недвижимого имущества;</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7. за государственную регистрацию ипотеки, возникающей на основании закона, а также за погашение регистрационной записи об ипотеке;</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8. за государственную регистрацию соглашения об изменении содержания закладной, включая внесение соответствующих изменений в записи ЕГРН;</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9. за выдачу закладной;</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10. за государственную регистрацию права, возникшего до введения в действие Закона, на объект недвижимого имущества при государственной регистрации перехода данного права или сделки об отчуждении объекта недвижимого имущества;</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11. 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13. за государственную регистрацию прекращения ограничений (обременений) прав на недвижимое имущество;</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14.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15. за государственную регистрацию прекращения права при государственной регистрации за тем же правообладателем другого вида права (например, переоформление права пожизненного наследуемого владения земельным участком на право собственности в соответствии с пунктом 9.1 статьи 3 Федерального закона от 25.10.2001 № 137-ФЗ «О введении в действие Земельного кодекса Российской Федерации»);</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16. за государственную регистрацию прав на недвижимое имущество Союзного государства и сделок с ним;</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17. за совершение юридически значимых действий, указанных в статье 333.33 настоящего Кодекса, в случае, если такие действия совершаются в соответствии с Федеральным законом "Об особенностях функционирования финансовой системы Республики Крым и города федерального значения Севастополя на переходный период";</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ПОРЯДОК ВОЗВРАТА ИЗЛИШНЕ УПЛАЧЕННОЙ ГОСПОШЛИНЫ</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Основания и порядок возврата государственной пошлины установлены статьей 333.40 Налогового кодекса Российской Федерации, Федеральным законом от 21.07.1997 № 122-ФЗ «О государственной регистрации прав на недвижимое имущество и сделок с ним».</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Уплаченная государственная пошлина подлежит возврату в случае уплаты в большем размере, чем это предусмотрено, а также в случае отказа лиц, уплативших государственную пошлину, от совершения юридически значимого действия до обращения в уполномоченный орган, совершающий данное юридически значимое действие.</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 xml:space="preserve">Основание для возврата излишне уплаченной государственной пошлины является заявление плательщика или его представителя, действующего на основании </w:t>
      </w:r>
      <w:r>
        <w:rPr>
          <w:rFonts w:ascii="Calibri" w:hAnsi="Calibri"/>
          <w:color w:val="666666"/>
        </w:rPr>
        <w:lastRenderedPageBreak/>
        <w:t>доверенности. Заявление о возврате излишне уплаченной суммы государственной пошлины подается плательщиком государственной пошлины в орган, уполномоченный совершать юридически значимые действия, за которые уплачена государственная пошлина.</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К заявлению о возврате излишне уплаченной (взысканной) суммы государственной пошлины прилагаются подлинные платежные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При отказе в государственной регистрации права, уплаченная государственная пошлина за государственную регистрацию права не возвращается.</w:t>
      </w:r>
    </w:p>
    <w:p w:rsidR="004927ED" w:rsidRDefault="004927ED" w:rsidP="004927ED">
      <w:pPr>
        <w:pStyle w:val="a4"/>
        <w:shd w:val="clear" w:color="auto" w:fill="FFFFFF"/>
        <w:spacing w:before="0" w:beforeAutospacing="0" w:after="0" w:afterAutospacing="0"/>
        <w:rPr>
          <w:rFonts w:ascii="Calibri" w:hAnsi="Calibri"/>
          <w:color w:val="666666"/>
        </w:rPr>
      </w:pPr>
      <w:r>
        <w:rPr>
          <w:rFonts w:ascii="Calibri" w:hAnsi="Calibri"/>
          <w:color w:val="666666"/>
        </w:rPr>
        <w:t>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BF231C" w:rsidRPr="004927ED" w:rsidRDefault="00BF231C" w:rsidP="004927ED">
      <w:bookmarkStart w:id="0" w:name="_GoBack"/>
      <w:bookmarkEnd w:id="0"/>
    </w:p>
    <w:sectPr w:rsidR="00BF231C" w:rsidRPr="00492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05"/>
    <w:rsid w:val="00071383"/>
    <w:rsid w:val="004927ED"/>
    <w:rsid w:val="004F1C05"/>
    <w:rsid w:val="00BF2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F979-7FE3-4E70-9844-2F3A4682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92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383"/>
    <w:rPr>
      <w:color w:val="0563C1" w:themeColor="hyperlink"/>
      <w:u w:val="single"/>
    </w:rPr>
  </w:style>
  <w:style w:type="character" w:customStyle="1" w:styleId="30">
    <w:name w:val="Заголовок 3 Знак"/>
    <w:basedOn w:val="a0"/>
    <w:link w:val="3"/>
    <w:uiPriority w:val="9"/>
    <w:rsid w:val="004927E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92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site/ur/zaregistrirovat-nedvizhimoe-imushchestvo-/?price" TargetMode="External"/><Relationship Id="rId4" Type="http://schemas.openxmlformats.org/officeDocument/2006/relationships/hyperlink" Target="https://rosreestr.ru/site/ur/zaregistrirovat-nedvizhimoe-imushchestvo-/?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4013</Words>
  <Characters>22875</Characters>
  <Application>Microsoft Office Word</Application>
  <DocSecurity>0</DocSecurity>
  <Lines>190</Lines>
  <Paragraphs>53</Paragraphs>
  <ScaleCrop>false</ScaleCrop>
  <Company/>
  <LinksUpToDate>false</LinksUpToDate>
  <CharactersWithSpaces>26835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dc:creator>
  <cp:keywords/>
  <dc:description/>
  <cp:lastModifiedBy>лихошерст</cp:lastModifiedBy>
  <cp:revision>4</cp:revision>
  <dcterms:created xsi:type="dcterms:W3CDTF">2017-04-14T08:39:00Z</dcterms:created>
  <dcterms:modified xsi:type="dcterms:W3CDTF">2017-04-28T10:24:00Z</dcterms:modified>
</cp:coreProperties>
</file>